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-184782</wp:posOffset>
            </wp:positionH>
            <wp:positionV relativeFrom="paragraph">
              <wp:posOffset>329565</wp:posOffset>
            </wp:positionV>
            <wp:extent cx="1695450" cy="693420"/>
            <wp:effectExtent b="0" l="0" r="0" t="0"/>
            <wp:wrapSquare wrapText="bothSides" distB="57150" distT="57150" distL="57150" distR="57150"/>
            <wp:docPr descr="C:\Users\Natalia\Downloads\a6e97248-a1a4-4b8a-be3f-c44f81cfe9e4.png" id="1073741828" name="image1.png"/>
            <a:graphic>
              <a:graphicData uri="http://schemas.openxmlformats.org/drawingml/2006/picture">
                <pic:pic>
                  <pic:nvPicPr>
                    <pic:cNvPr descr="C:\Users\Natalia\Downloads\a6e97248-a1a4-4b8a-be3f-c44f81cfe9e4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279400</wp:posOffset>
                </wp:positionV>
                <wp:extent cx="3625850" cy="482600"/>
                <wp:effectExtent b="0" l="0" r="0" t="0"/>
                <wp:wrapNone/>
                <wp:docPr descr="Прямоугольник 1" id="10737418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551400"/>
                          <a:ext cx="3600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chemeClr val="accent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Розклад занять з 10 квітня 2024 року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з курсу «Медійна реклама» </w:t>
                            </w:r>
                          </w:p>
                        </w:txbxContent>
                      </wps:txbx>
                      <wps:bodyPr anchorCtr="0" anchor="ctr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279400</wp:posOffset>
                </wp:positionV>
                <wp:extent cx="3625850" cy="482600"/>
                <wp:effectExtent b="0" l="0" r="0" t="0"/>
                <wp:wrapNone/>
                <wp:docPr descr="Прямоугольник 1" id="1073741827" name="image2.png"/>
                <a:graphic>
                  <a:graphicData uri="http://schemas.openxmlformats.org/drawingml/2006/picture">
                    <pic:pic>
                      <pic:nvPicPr>
                        <pic:cNvPr descr="Прямоугольник 1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3.0" w:type="dxa"/>
        <w:jc w:val="center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76"/>
        <w:gridCol w:w="1574"/>
        <w:gridCol w:w="829"/>
        <w:gridCol w:w="2983"/>
        <w:gridCol w:w="1635"/>
        <w:gridCol w:w="1226"/>
        <w:tblGridChange w:id="0">
          <w:tblGrid>
            <w:gridCol w:w="876"/>
            <w:gridCol w:w="1574"/>
            <w:gridCol w:w="829"/>
            <w:gridCol w:w="2983"/>
            <w:gridCol w:w="1635"/>
            <w:gridCol w:w="1226"/>
          </w:tblGrid>
        </w:tblGridChange>
      </w:tblGrid>
      <w:tr>
        <w:trPr>
          <w:cantSplit w:val="0"/>
          <w:trHeight w:val="727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Номер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Викладач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Примітка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10.04.2024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18.30-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Медійна стратегія. Медіапланування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Є. Шевченко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.2024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Понеділок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18.30-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Створення ефективного банера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Є. Шевченко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практика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17.04.2024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18.30-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Відеореклама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в інтернеті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Нестандартні розміщення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Є. Шевченко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практика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22.04.2024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Понеділок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18.30-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Таргетована реклама в соціальних мережах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М. Федоренко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В. Литвиненко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24.04.2024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18.30-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Programmatic закупівля реклами. RTB, Контекстно-медійна мережа Google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В. Литвиненко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М. Федоренко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29.04.2024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Понеділок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18.30-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Контекстно-медійна реклама. Практика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В. Литвиненко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Л. Беглоян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01.05.2024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18.30-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Мобільна реклама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Є. Шевченко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практика</w:t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06.05.2024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Понеділок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18.30-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Оцінка ефективності медійної реклами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Є. Шевченко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" w:right="0" w:hanging="21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42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54bsIBwf6nGtn6ZI0a1JLVE9xQ==">CgMxLjA4AHIhMVQzVzlNRks3ZHRfOWV3enUtVDZReUlMVmkzdWVMZmd1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